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775"/>
        <w:gridCol w:w="2906"/>
      </w:tblGrid>
      <w:tr w:rsidR="006B0B4D" w:rsidRPr="002D38BA" w:rsidTr="00BB4EEF">
        <w:trPr>
          <w:tblCellSpacing w:w="15" w:type="dxa"/>
        </w:trPr>
        <w:tc>
          <w:tcPr>
            <w:tcW w:w="0" w:type="auto"/>
            <w:shd w:val="clear" w:color="auto" w:fill="990000"/>
            <w:vAlign w:val="center"/>
            <w:hideMark/>
          </w:tcPr>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sidRPr="002D38BA">
              <w:rPr>
                <w:rFonts w:ascii="Times New Roman" w:eastAsia="Times New Roman" w:hAnsi="Times New Roman" w:cs="Times New Roman"/>
                <w:color w:val="000000"/>
                <w:sz w:val="24"/>
                <w:szCs w:val="24"/>
                <w:lang w:eastAsia="fr-FR"/>
              </w:rPr>
              <w:t xml:space="preserve"> </w:t>
            </w:r>
          </w:p>
        </w:tc>
        <w:tc>
          <w:tcPr>
            <w:tcW w:w="0" w:type="auto"/>
            <w:vAlign w:val="center"/>
            <w:hideMark/>
          </w:tcPr>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r w:rsidRPr="002D38BA">
              <w:rPr>
                <w:rFonts w:ascii="Verdana" w:eastAsia="Times New Roman" w:hAnsi="Verdana" w:cs="Times New Roman"/>
                <w:b/>
                <w:bCs/>
                <w:color w:val="990000"/>
                <w:sz w:val="24"/>
                <w:szCs w:val="24"/>
                <w:lang w:eastAsia="fr-FR"/>
              </w:rPr>
              <w:t>PHARMACODYNAMIE</w:t>
            </w:r>
            <w:r w:rsidRPr="002D38BA">
              <w:rPr>
                <w:rFonts w:ascii="Times New Roman" w:eastAsia="Times New Roman" w:hAnsi="Times New Roman" w:cs="Times New Roman"/>
                <w:color w:val="000000"/>
                <w:sz w:val="24"/>
                <w:szCs w:val="24"/>
                <w:lang w:eastAsia="fr-FR"/>
              </w:rPr>
              <w:t xml:space="preserve"> </w:t>
            </w:r>
          </w:p>
        </w:tc>
      </w:tr>
    </w:tbl>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Classe </w:t>
      </w:r>
      <w:proofErr w:type="spellStart"/>
      <w:r w:rsidRPr="002D38BA">
        <w:rPr>
          <w:rFonts w:ascii="Times New Roman" w:eastAsia="Times New Roman" w:hAnsi="Times New Roman" w:cs="Times New Roman"/>
          <w:color w:val="000000"/>
          <w:sz w:val="24"/>
          <w:szCs w:val="24"/>
          <w:lang w:eastAsia="fr-FR"/>
        </w:rPr>
        <w:t>pharmacothérapeutique</w:t>
      </w:r>
      <w:proofErr w:type="spellEnd"/>
      <w:r w:rsidRPr="002D38BA">
        <w:rPr>
          <w:rFonts w:ascii="Times New Roman" w:eastAsia="Times New Roman" w:hAnsi="Times New Roman" w:cs="Times New Roman"/>
          <w:color w:val="000000"/>
          <w:sz w:val="24"/>
          <w:szCs w:val="24"/>
          <w:lang w:eastAsia="fr-FR"/>
        </w:rPr>
        <w:t xml:space="preserve"> : </w:t>
      </w:r>
      <w:proofErr w:type="spellStart"/>
      <w:r w:rsidRPr="002D38BA">
        <w:rPr>
          <w:rFonts w:ascii="Times New Roman" w:eastAsia="Times New Roman" w:hAnsi="Times New Roman" w:cs="Times New Roman"/>
          <w:color w:val="000000"/>
          <w:sz w:val="24"/>
          <w:szCs w:val="24"/>
          <w:lang w:eastAsia="fr-FR"/>
        </w:rPr>
        <w:t>Antipsoriasiques</w:t>
      </w:r>
      <w:proofErr w:type="spellEnd"/>
      <w:r w:rsidRPr="002D38BA">
        <w:rPr>
          <w:rFonts w:ascii="Times New Roman" w:eastAsia="Times New Roman" w:hAnsi="Times New Roman" w:cs="Times New Roman"/>
          <w:color w:val="000000"/>
          <w:sz w:val="24"/>
          <w:szCs w:val="24"/>
          <w:lang w:eastAsia="fr-FR"/>
        </w:rPr>
        <w:t xml:space="preserve"> ; autres médicaments contre le psoriasis à usage topique -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en association (code ATC : D05AX52). </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Le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est un analogue de la vitamine D. Les données in vitro suggèrent que le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induit la différenciation et inhibe la prolifération des </w:t>
      </w:r>
      <w:proofErr w:type="spellStart"/>
      <w:r w:rsidRPr="002D38BA">
        <w:rPr>
          <w:rFonts w:ascii="Times New Roman" w:eastAsia="Times New Roman" w:hAnsi="Times New Roman" w:cs="Times New Roman"/>
          <w:color w:val="000000"/>
          <w:sz w:val="24"/>
          <w:szCs w:val="24"/>
          <w:lang w:eastAsia="fr-FR"/>
        </w:rPr>
        <w:t>kératinocytes</w:t>
      </w:r>
      <w:proofErr w:type="spellEnd"/>
      <w:r w:rsidRPr="002D38BA">
        <w:rPr>
          <w:rFonts w:ascii="Times New Roman" w:eastAsia="Times New Roman" w:hAnsi="Times New Roman" w:cs="Times New Roman"/>
          <w:color w:val="000000"/>
          <w:sz w:val="24"/>
          <w:szCs w:val="24"/>
          <w:lang w:eastAsia="fr-FR"/>
        </w:rPr>
        <w:t xml:space="preserve">. C'est le mécanisme proposé pour expliquer ses effets dans le psoriasis. </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Comme les autres corticoïdes topiques, le </w:t>
      </w:r>
      <w:proofErr w:type="spellStart"/>
      <w:r w:rsidRPr="002D38BA">
        <w:rPr>
          <w:rFonts w:ascii="Times New Roman" w:eastAsia="Times New Roman" w:hAnsi="Times New Roman" w:cs="Times New Roman"/>
          <w:color w:val="000000"/>
          <w:sz w:val="24"/>
          <w:szCs w:val="24"/>
          <w:lang w:eastAsia="fr-FR"/>
        </w:rPr>
        <w:t>dipropionate</w:t>
      </w:r>
      <w:proofErr w:type="spellEnd"/>
      <w:r w:rsidRPr="002D38BA">
        <w:rPr>
          <w:rFonts w:ascii="Times New Roman" w:eastAsia="Times New Roman" w:hAnsi="Times New Roman" w:cs="Times New Roman"/>
          <w:color w:val="000000"/>
          <w:sz w:val="24"/>
          <w:szCs w:val="24"/>
          <w:lang w:eastAsia="fr-FR"/>
        </w:rPr>
        <w:t xml:space="preserve"> de </w:t>
      </w:r>
      <w:proofErr w:type="spellStart"/>
      <w:r w:rsidRPr="002D38BA">
        <w:rPr>
          <w:rFonts w:ascii="Times New Roman" w:eastAsia="Times New Roman" w:hAnsi="Times New Roman" w:cs="Times New Roman"/>
          <w:color w:val="000000"/>
          <w:sz w:val="24"/>
          <w:szCs w:val="24"/>
          <w:lang w:eastAsia="fr-FR"/>
        </w:rPr>
        <w:t>bétaméthasone</w:t>
      </w:r>
      <w:proofErr w:type="spellEnd"/>
      <w:r w:rsidRPr="002D38BA">
        <w:rPr>
          <w:rFonts w:ascii="Times New Roman" w:eastAsia="Times New Roman" w:hAnsi="Times New Roman" w:cs="Times New Roman"/>
          <w:color w:val="000000"/>
          <w:sz w:val="24"/>
          <w:szCs w:val="24"/>
          <w:lang w:eastAsia="fr-FR"/>
        </w:rPr>
        <w:t xml:space="preserve"> a des propriétés anti-inflammatoires, antiprurigineuses, vasoconstrictrices et immunosuppressives, cependant, sans action curative démontrée. Un traitement sous occlusion pourra augmenter l'effet en raison d'une pénétration plus importante dans la couche cornée. L'incidence des effets indésirables sera donc augmentée. De manière générale, le mécanisme d'action de l'activité anti-inflammatoire des corticoïdes topiques n'est pas complètement connu. </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La réponse surrénalienne à l'ACTH a été déterminée en mesurant la </w:t>
      </w:r>
      <w:proofErr w:type="spellStart"/>
      <w:r w:rsidRPr="002D38BA">
        <w:rPr>
          <w:rFonts w:ascii="Times New Roman" w:eastAsia="Times New Roman" w:hAnsi="Times New Roman" w:cs="Times New Roman"/>
          <w:color w:val="000000"/>
          <w:sz w:val="24"/>
          <w:szCs w:val="24"/>
          <w:lang w:eastAsia="fr-FR"/>
        </w:rPr>
        <w:t>cortisolémie</w:t>
      </w:r>
      <w:proofErr w:type="spellEnd"/>
      <w:r w:rsidRPr="002D38BA">
        <w:rPr>
          <w:rFonts w:ascii="Times New Roman" w:eastAsia="Times New Roman" w:hAnsi="Times New Roman" w:cs="Times New Roman"/>
          <w:color w:val="000000"/>
          <w:sz w:val="24"/>
          <w:szCs w:val="24"/>
          <w:lang w:eastAsia="fr-FR"/>
        </w:rPr>
        <w:t xml:space="preserve"> chez des patients ayant à la fois un psoriasis étendu sur le cuir chevelu et sur le corps et utilisant jusqu'à 106 g par semaine de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associé à </w:t>
      </w:r>
      <w:proofErr w:type="spellStart"/>
      <w:r w:rsidRPr="002D38BA">
        <w:rPr>
          <w:rFonts w:ascii="Times New Roman" w:eastAsia="Times New Roman" w:hAnsi="Times New Roman" w:cs="Times New Roman"/>
          <w:color w:val="000000"/>
          <w:sz w:val="24"/>
          <w:szCs w:val="24"/>
          <w:lang w:eastAsia="fr-FR"/>
        </w:rPr>
        <w:t>Daivobet</w:t>
      </w:r>
      <w:proofErr w:type="spellEnd"/>
      <w:r w:rsidRPr="002D38BA">
        <w:rPr>
          <w:rFonts w:ascii="Times New Roman" w:eastAsia="Times New Roman" w:hAnsi="Times New Roman" w:cs="Times New Roman"/>
          <w:color w:val="000000"/>
          <w:sz w:val="24"/>
          <w:szCs w:val="24"/>
          <w:lang w:eastAsia="fr-FR"/>
        </w:rPr>
        <w:t xml:space="preserve"> pommade. Une diminution limite du taux de cortisol, 30 minutes après l'administration d'ACTH, a été observée chez 5 patients sur 32 (15,6 %) après 4 semaines de traitement et chez 2 patients sur 11 (18,2 %) qui ont prolongé le traitement jusqu'à 8 semaines. Dans tous les cas, la </w:t>
      </w:r>
      <w:proofErr w:type="spellStart"/>
      <w:r w:rsidRPr="002D38BA">
        <w:rPr>
          <w:rFonts w:ascii="Times New Roman" w:eastAsia="Times New Roman" w:hAnsi="Times New Roman" w:cs="Times New Roman"/>
          <w:color w:val="000000"/>
          <w:sz w:val="24"/>
          <w:szCs w:val="24"/>
          <w:lang w:eastAsia="fr-FR"/>
        </w:rPr>
        <w:t>cortisolémie</w:t>
      </w:r>
      <w:proofErr w:type="spellEnd"/>
      <w:r w:rsidRPr="002D38BA">
        <w:rPr>
          <w:rFonts w:ascii="Times New Roman" w:eastAsia="Times New Roman" w:hAnsi="Times New Roman" w:cs="Times New Roman"/>
          <w:color w:val="000000"/>
          <w:sz w:val="24"/>
          <w:szCs w:val="24"/>
          <w:lang w:eastAsia="fr-FR"/>
        </w:rPr>
        <w:t xml:space="preserve"> était à un niveau normal 60 minutes après l'administration d'ACTH. Aucune modification du métabolisme calcique n'a été observée chez ces patients. En ce qui concerne le freinage </w:t>
      </w:r>
      <w:proofErr w:type="spellStart"/>
      <w:r w:rsidRPr="002D38BA">
        <w:rPr>
          <w:rFonts w:ascii="Times New Roman" w:eastAsia="Times New Roman" w:hAnsi="Times New Roman" w:cs="Times New Roman"/>
          <w:color w:val="000000"/>
          <w:sz w:val="24"/>
          <w:szCs w:val="24"/>
          <w:lang w:eastAsia="fr-FR"/>
        </w:rPr>
        <w:t>hypothalamo</w:t>
      </w:r>
      <w:proofErr w:type="spellEnd"/>
      <w:r w:rsidRPr="002D38BA">
        <w:rPr>
          <w:rFonts w:ascii="Times New Roman" w:eastAsia="Times New Roman" w:hAnsi="Times New Roman" w:cs="Times New Roman"/>
          <w:color w:val="000000"/>
          <w:sz w:val="24"/>
          <w:szCs w:val="24"/>
          <w:lang w:eastAsia="fr-FR"/>
        </w:rPr>
        <w:t xml:space="preserve">-hypophysaire, cette étude met en évidence qu'à doses très élevées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et </w:t>
      </w:r>
      <w:proofErr w:type="spellStart"/>
      <w:r w:rsidRPr="002D38BA">
        <w:rPr>
          <w:rFonts w:ascii="Times New Roman" w:eastAsia="Times New Roman" w:hAnsi="Times New Roman" w:cs="Times New Roman"/>
          <w:color w:val="000000"/>
          <w:sz w:val="24"/>
          <w:szCs w:val="24"/>
          <w:lang w:eastAsia="fr-FR"/>
        </w:rPr>
        <w:t>Daivobet</w:t>
      </w:r>
      <w:proofErr w:type="spellEnd"/>
      <w:r w:rsidRPr="002D38BA">
        <w:rPr>
          <w:rFonts w:ascii="Times New Roman" w:eastAsia="Times New Roman" w:hAnsi="Times New Roman" w:cs="Times New Roman"/>
          <w:color w:val="000000"/>
          <w:sz w:val="24"/>
          <w:szCs w:val="24"/>
          <w:lang w:eastAsia="fr-FR"/>
        </w:rPr>
        <w:t xml:space="preserve"> pommade peuvent avoir un faible effet sur l'axe </w:t>
      </w:r>
      <w:proofErr w:type="spellStart"/>
      <w:r w:rsidRPr="002D38BA">
        <w:rPr>
          <w:rFonts w:ascii="Times New Roman" w:eastAsia="Times New Roman" w:hAnsi="Times New Roman" w:cs="Times New Roman"/>
          <w:color w:val="000000"/>
          <w:sz w:val="24"/>
          <w:szCs w:val="24"/>
          <w:lang w:eastAsia="fr-FR"/>
        </w:rPr>
        <w:t>hypothalamo</w:t>
      </w:r>
      <w:proofErr w:type="spellEnd"/>
      <w:r w:rsidRPr="002D38BA">
        <w:rPr>
          <w:rFonts w:ascii="Times New Roman" w:eastAsia="Times New Roman" w:hAnsi="Times New Roman" w:cs="Times New Roman"/>
          <w:color w:val="000000"/>
          <w:sz w:val="24"/>
          <w:szCs w:val="24"/>
          <w:lang w:eastAsia="fr-FR"/>
        </w:rPr>
        <w:t xml:space="preserve">-hypophysaire. </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L'efficacité de l'utilisation une fois par jour de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a été évaluée dans deux études cliniques randomisées, en double aveugle, de 8 semaines incluant un total de plus de 2900 patients avec un psoriasis du cuir chevelu d'une sévérité au moins légère selon l'</w:t>
      </w:r>
      <w:proofErr w:type="spellStart"/>
      <w:r w:rsidRPr="002D38BA">
        <w:rPr>
          <w:rFonts w:ascii="Times New Roman" w:eastAsia="Times New Roman" w:hAnsi="Times New Roman" w:cs="Times New Roman"/>
          <w:color w:val="000000"/>
          <w:sz w:val="24"/>
          <w:szCs w:val="24"/>
          <w:lang w:eastAsia="fr-FR"/>
        </w:rPr>
        <w:t>Investigator's</w:t>
      </w:r>
      <w:proofErr w:type="spellEnd"/>
      <w:r w:rsidRPr="002D38BA">
        <w:rPr>
          <w:rFonts w:ascii="Times New Roman" w:eastAsia="Times New Roman" w:hAnsi="Times New Roman" w:cs="Times New Roman"/>
          <w:color w:val="000000"/>
          <w:sz w:val="24"/>
          <w:szCs w:val="24"/>
          <w:lang w:eastAsia="fr-FR"/>
        </w:rPr>
        <w:t xml:space="preserve"> Global </w:t>
      </w:r>
      <w:proofErr w:type="spellStart"/>
      <w:r w:rsidRPr="002D38BA">
        <w:rPr>
          <w:rFonts w:ascii="Times New Roman" w:eastAsia="Times New Roman" w:hAnsi="Times New Roman" w:cs="Times New Roman"/>
          <w:color w:val="000000"/>
          <w:sz w:val="24"/>
          <w:szCs w:val="24"/>
          <w:lang w:eastAsia="fr-FR"/>
        </w:rPr>
        <w:t>Assessment</w:t>
      </w:r>
      <w:proofErr w:type="spellEnd"/>
      <w:r w:rsidRPr="002D38BA">
        <w:rPr>
          <w:rFonts w:ascii="Times New Roman" w:eastAsia="Times New Roman" w:hAnsi="Times New Roman" w:cs="Times New Roman"/>
          <w:color w:val="000000"/>
          <w:sz w:val="24"/>
          <w:szCs w:val="24"/>
          <w:lang w:eastAsia="fr-FR"/>
        </w:rPr>
        <w:t xml:space="preserve"> of </w:t>
      </w:r>
      <w:proofErr w:type="spellStart"/>
      <w:r w:rsidRPr="002D38BA">
        <w:rPr>
          <w:rFonts w:ascii="Times New Roman" w:eastAsia="Times New Roman" w:hAnsi="Times New Roman" w:cs="Times New Roman"/>
          <w:color w:val="000000"/>
          <w:sz w:val="24"/>
          <w:szCs w:val="24"/>
          <w:lang w:eastAsia="fr-FR"/>
        </w:rPr>
        <w:t>Disease</w:t>
      </w:r>
      <w:proofErr w:type="spellEnd"/>
      <w:r w:rsidRPr="002D38BA">
        <w:rPr>
          <w:rFonts w:ascii="Times New Roman" w:eastAsia="Times New Roman" w:hAnsi="Times New Roman" w:cs="Times New Roman"/>
          <w:color w:val="000000"/>
          <w:sz w:val="24"/>
          <w:szCs w:val="24"/>
          <w:lang w:eastAsia="fr-FR"/>
        </w:rPr>
        <w:t xml:space="preserve"> </w:t>
      </w:r>
      <w:proofErr w:type="spellStart"/>
      <w:r w:rsidRPr="002D38BA">
        <w:rPr>
          <w:rFonts w:ascii="Times New Roman" w:eastAsia="Times New Roman" w:hAnsi="Times New Roman" w:cs="Times New Roman"/>
          <w:color w:val="000000"/>
          <w:sz w:val="24"/>
          <w:szCs w:val="24"/>
          <w:lang w:eastAsia="fr-FR"/>
        </w:rPr>
        <w:t>Severity</w:t>
      </w:r>
      <w:proofErr w:type="spellEnd"/>
      <w:r w:rsidRPr="002D38BA">
        <w:rPr>
          <w:rFonts w:ascii="Times New Roman" w:eastAsia="Times New Roman" w:hAnsi="Times New Roman" w:cs="Times New Roman"/>
          <w:color w:val="000000"/>
          <w:sz w:val="24"/>
          <w:szCs w:val="24"/>
          <w:lang w:eastAsia="fr-FR"/>
        </w:rPr>
        <w:t xml:space="preserve"> (IGA). Les comparateurs étaient le </w:t>
      </w:r>
      <w:proofErr w:type="spellStart"/>
      <w:r w:rsidRPr="002D38BA">
        <w:rPr>
          <w:rFonts w:ascii="Times New Roman" w:eastAsia="Times New Roman" w:hAnsi="Times New Roman" w:cs="Times New Roman"/>
          <w:color w:val="000000"/>
          <w:sz w:val="24"/>
          <w:szCs w:val="24"/>
          <w:lang w:eastAsia="fr-FR"/>
        </w:rPr>
        <w:t>dipropionate</w:t>
      </w:r>
      <w:proofErr w:type="spellEnd"/>
      <w:r w:rsidRPr="002D38BA">
        <w:rPr>
          <w:rFonts w:ascii="Times New Roman" w:eastAsia="Times New Roman" w:hAnsi="Times New Roman" w:cs="Times New Roman"/>
          <w:color w:val="000000"/>
          <w:sz w:val="24"/>
          <w:szCs w:val="24"/>
          <w:lang w:eastAsia="fr-FR"/>
        </w:rPr>
        <w:t xml:space="preserve"> de </w:t>
      </w:r>
      <w:proofErr w:type="spellStart"/>
      <w:r w:rsidRPr="002D38BA">
        <w:rPr>
          <w:rFonts w:ascii="Times New Roman" w:eastAsia="Times New Roman" w:hAnsi="Times New Roman" w:cs="Times New Roman"/>
          <w:color w:val="000000"/>
          <w:sz w:val="24"/>
          <w:szCs w:val="24"/>
          <w:lang w:eastAsia="fr-FR"/>
        </w:rPr>
        <w:t>bétaméthasone</w:t>
      </w:r>
      <w:proofErr w:type="spellEnd"/>
      <w:r w:rsidRPr="002D38BA">
        <w:rPr>
          <w:rFonts w:ascii="Times New Roman" w:eastAsia="Times New Roman" w:hAnsi="Times New Roman" w:cs="Times New Roman"/>
          <w:color w:val="000000"/>
          <w:sz w:val="24"/>
          <w:szCs w:val="24"/>
          <w:lang w:eastAsia="fr-FR"/>
        </w:rPr>
        <w:t xml:space="preserve"> dans le véhicule du gel, le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dans le véhicule du gel et (dans une des études) le véhicule du gel seul, tous utilisés une fois par jour. Des résultats pour le critère principal (absence de la maladie ou très légère présence de la maladie selon l'IGA à la semaine 8) ont montré que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était statistiquement plus efficace que les comparateurs. Les résultats sur la rapidité d'action basés sur des données semblables pour la semaine 2 ont aussi montré que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était statistiquement plus efficace que les comparateurs. </w:t>
      </w:r>
    </w:p>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44"/>
        <w:gridCol w:w="2990"/>
        <w:gridCol w:w="2997"/>
      </w:tblGrid>
      <w:tr w:rsidR="006B0B4D" w:rsidRPr="002D38BA" w:rsidTr="00BB4EE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 de patients avec absence de la maladie ou très légère présence de la maladie </w:t>
            </w:r>
          </w:p>
        </w:tc>
      </w:tr>
      <w:tr w:rsidR="006B0B4D" w:rsidRPr="002D38BA" w:rsidTr="00BB4EE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semaine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semaine 8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w:t>
            </w:r>
            <w:proofErr w:type="gramStart"/>
            <w:r w:rsidRPr="002D38BA">
              <w:rPr>
                <w:rFonts w:ascii="Times New Roman" w:eastAsia="Times New Roman" w:hAnsi="Times New Roman" w:cs="Times New Roman"/>
                <w:color w:val="000000"/>
                <w:sz w:val="24"/>
                <w:szCs w:val="24"/>
                <w:lang w:eastAsia="fr-FR"/>
              </w:rPr>
              <w:t>gel</w:t>
            </w:r>
            <w:proofErr w:type="gramEnd"/>
            <w:r w:rsidRPr="002D38BA">
              <w:rPr>
                <w:rFonts w:ascii="Times New Roman" w:eastAsia="Times New Roman" w:hAnsi="Times New Roman" w:cs="Times New Roman"/>
                <w:color w:val="000000"/>
                <w:sz w:val="24"/>
                <w:szCs w:val="24"/>
                <w:lang w:eastAsia="fr-FR"/>
              </w:rPr>
              <w:br/>
              <w:t xml:space="preserve">(n = 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53,2 %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69,8 %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roofErr w:type="spellStart"/>
            <w:r w:rsidRPr="002D38BA">
              <w:rPr>
                <w:rFonts w:ascii="Times New Roman" w:eastAsia="Times New Roman" w:hAnsi="Times New Roman" w:cs="Times New Roman"/>
                <w:color w:val="000000"/>
                <w:sz w:val="24"/>
                <w:szCs w:val="24"/>
                <w:lang w:eastAsia="fr-FR"/>
              </w:rPr>
              <w:t>Dipropionate</w:t>
            </w:r>
            <w:proofErr w:type="spellEnd"/>
            <w:r w:rsidRPr="002D38BA">
              <w:rPr>
                <w:rFonts w:ascii="Times New Roman" w:eastAsia="Times New Roman" w:hAnsi="Times New Roman" w:cs="Times New Roman"/>
                <w:color w:val="000000"/>
                <w:sz w:val="24"/>
                <w:szCs w:val="24"/>
                <w:lang w:eastAsia="fr-FR"/>
              </w:rPr>
              <w:t xml:space="preserve"> de </w:t>
            </w:r>
            <w:proofErr w:type="spellStart"/>
            <w:proofErr w:type="gramStart"/>
            <w:r w:rsidRPr="002D38BA">
              <w:rPr>
                <w:rFonts w:ascii="Times New Roman" w:eastAsia="Times New Roman" w:hAnsi="Times New Roman" w:cs="Times New Roman"/>
                <w:color w:val="000000"/>
                <w:sz w:val="24"/>
                <w:szCs w:val="24"/>
                <w:lang w:eastAsia="fr-FR"/>
              </w:rPr>
              <w:lastRenderedPageBreak/>
              <w:t>bétaméthasone</w:t>
            </w:r>
            <w:proofErr w:type="spellEnd"/>
            <w:proofErr w:type="gramEnd"/>
            <w:r w:rsidRPr="002D38BA">
              <w:rPr>
                <w:rFonts w:ascii="Times New Roman" w:eastAsia="Times New Roman" w:hAnsi="Times New Roman" w:cs="Times New Roman"/>
                <w:color w:val="000000"/>
                <w:sz w:val="24"/>
                <w:szCs w:val="24"/>
                <w:lang w:eastAsia="fr-FR"/>
              </w:rPr>
              <w:br/>
              <w:t xml:space="preserve">(n = 1118)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lastRenderedPageBreak/>
              <w:t>42,8 %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62,5 %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roofErr w:type="spellStart"/>
            <w:proofErr w:type="gramStart"/>
            <w:r w:rsidRPr="002D38BA">
              <w:rPr>
                <w:rFonts w:ascii="Times New Roman" w:eastAsia="Times New Roman" w:hAnsi="Times New Roman" w:cs="Times New Roman"/>
                <w:color w:val="000000"/>
                <w:sz w:val="24"/>
                <w:szCs w:val="24"/>
                <w:lang w:eastAsia="fr-FR"/>
              </w:rPr>
              <w:lastRenderedPageBreak/>
              <w:t>Calcipotriol</w:t>
            </w:r>
            <w:proofErr w:type="spellEnd"/>
            <w:proofErr w:type="gramEnd"/>
            <w:r w:rsidRPr="002D38BA">
              <w:rPr>
                <w:rFonts w:ascii="Times New Roman" w:eastAsia="Times New Roman" w:hAnsi="Times New Roman" w:cs="Times New Roman"/>
                <w:color w:val="000000"/>
                <w:sz w:val="24"/>
                <w:szCs w:val="24"/>
                <w:lang w:eastAsia="fr-FR"/>
              </w:rPr>
              <w:br/>
              <w:t xml:space="preserve">(n = 558)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17,2 %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40,1 %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Véhicule du </w:t>
            </w:r>
            <w:proofErr w:type="gramStart"/>
            <w:r w:rsidRPr="002D38BA">
              <w:rPr>
                <w:rFonts w:ascii="Times New Roman" w:eastAsia="Times New Roman" w:hAnsi="Times New Roman" w:cs="Times New Roman"/>
                <w:color w:val="000000"/>
                <w:sz w:val="24"/>
                <w:szCs w:val="24"/>
                <w:lang w:eastAsia="fr-FR"/>
              </w:rPr>
              <w:t>gel</w:t>
            </w:r>
            <w:proofErr w:type="gramEnd"/>
            <w:r w:rsidRPr="002D38BA">
              <w:rPr>
                <w:rFonts w:ascii="Times New Roman" w:eastAsia="Times New Roman" w:hAnsi="Times New Roman" w:cs="Times New Roman"/>
                <w:color w:val="000000"/>
                <w:sz w:val="24"/>
                <w:szCs w:val="24"/>
                <w:lang w:eastAsia="fr-FR"/>
              </w:rPr>
              <w:br/>
              <w:t xml:space="preserve">(n = 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11,8 %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22,8 %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r>
    </w:tbl>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br/>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0"/>
          <w:szCs w:val="20"/>
          <w:lang w:eastAsia="fr-FR"/>
        </w:rPr>
        <w:t xml:space="preserve">Statistiquement moins efficace que </w:t>
      </w:r>
      <w:proofErr w:type="spellStart"/>
      <w:r>
        <w:rPr>
          <w:rFonts w:ascii="Times New Roman" w:eastAsia="Times New Roman" w:hAnsi="Times New Roman" w:cs="Times New Roman"/>
          <w:color w:val="000000"/>
          <w:sz w:val="20"/>
          <w:szCs w:val="20"/>
          <w:lang w:eastAsia="fr-FR"/>
        </w:rPr>
        <w:t>Calcipotriol</w:t>
      </w:r>
      <w:proofErr w:type="spell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bétaméthasone</w:t>
      </w:r>
      <w:proofErr w:type="spellEnd"/>
      <w:r>
        <w:rPr>
          <w:rFonts w:ascii="Times New Roman" w:eastAsia="Times New Roman" w:hAnsi="Times New Roman" w:cs="Times New Roman"/>
          <w:color w:val="000000"/>
          <w:sz w:val="20"/>
          <w:szCs w:val="20"/>
          <w:lang w:eastAsia="fr-FR"/>
        </w:rPr>
        <w:t xml:space="preserve"> </w:t>
      </w:r>
      <w:r w:rsidRPr="002D38BA">
        <w:rPr>
          <w:rFonts w:ascii="Times New Roman" w:eastAsia="Times New Roman" w:hAnsi="Times New Roman" w:cs="Times New Roman"/>
          <w:color w:val="000000"/>
          <w:sz w:val="20"/>
          <w:szCs w:val="20"/>
          <w:lang w:eastAsia="fr-FR"/>
        </w:rPr>
        <w:t xml:space="preserve"> gel (p &lt; 0,001).</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Une autre étude clinique randomisée, en simple aveugle (investigateur), incluant 312 patients avec un psoriasis du cuir chevelu de sévérité au moins modérée selon l'IGA, a étudié l'utilisation de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une fois par jour par comparaison avec celle de </w:t>
      </w:r>
      <w:proofErr w:type="spellStart"/>
      <w:r w:rsidRPr="002D38BA">
        <w:rPr>
          <w:rFonts w:ascii="Times New Roman" w:eastAsia="Times New Roman" w:hAnsi="Times New Roman" w:cs="Times New Roman"/>
          <w:color w:val="000000"/>
          <w:sz w:val="24"/>
          <w:szCs w:val="24"/>
          <w:lang w:eastAsia="fr-FR"/>
        </w:rPr>
        <w:t>Daivonex</w:t>
      </w:r>
      <w:proofErr w:type="spellEnd"/>
      <w:r w:rsidRPr="002D38BA">
        <w:rPr>
          <w:rFonts w:ascii="Times New Roman" w:eastAsia="Times New Roman" w:hAnsi="Times New Roman" w:cs="Times New Roman"/>
          <w:color w:val="000000"/>
          <w:sz w:val="24"/>
          <w:szCs w:val="24"/>
          <w:lang w:eastAsia="fr-FR"/>
        </w:rPr>
        <w:t xml:space="preserve"> solution pour cuir chevelu deux fois par jour pendant 8 semaines. Des résultats pour le critère principal (absence de la maladie ou très légère présence de la maladie selon l'IGA à la semaine 8) ont montré que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était statistiquement plus efficace que </w:t>
      </w:r>
      <w:proofErr w:type="spellStart"/>
      <w:r w:rsidRPr="002D38BA">
        <w:rPr>
          <w:rFonts w:ascii="Times New Roman" w:eastAsia="Times New Roman" w:hAnsi="Times New Roman" w:cs="Times New Roman"/>
          <w:color w:val="000000"/>
          <w:sz w:val="24"/>
          <w:szCs w:val="24"/>
          <w:lang w:eastAsia="fr-FR"/>
        </w:rPr>
        <w:t>Daivonex</w:t>
      </w:r>
      <w:proofErr w:type="spellEnd"/>
      <w:r w:rsidRPr="002D38BA">
        <w:rPr>
          <w:rFonts w:ascii="Times New Roman" w:eastAsia="Times New Roman" w:hAnsi="Times New Roman" w:cs="Times New Roman"/>
          <w:color w:val="000000"/>
          <w:sz w:val="24"/>
          <w:szCs w:val="24"/>
          <w:lang w:eastAsia="fr-FR"/>
        </w:rPr>
        <w:t xml:space="preserve"> solution pour cuir chevelu. </w:t>
      </w:r>
    </w:p>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31"/>
        <w:gridCol w:w="5300"/>
      </w:tblGrid>
      <w:tr w:rsidR="006B0B4D" w:rsidRPr="002D38BA" w:rsidTr="00BB4EE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 de patients avec absence de la maladie ou très légère présence de la maladie </w:t>
            </w:r>
          </w:p>
        </w:tc>
      </w:tr>
      <w:tr w:rsidR="006B0B4D" w:rsidRPr="002D38BA" w:rsidTr="00BB4EE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semaine 8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(n = 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68,6 % </w:t>
            </w:r>
          </w:p>
        </w:tc>
      </w:tr>
      <w:tr w:rsidR="006B0B4D" w:rsidRPr="002D38BA" w:rsidTr="00BB4EE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rPr>
                <w:rFonts w:ascii="Times New Roman" w:eastAsia="Times New Roman" w:hAnsi="Times New Roman" w:cs="Times New Roman"/>
                <w:color w:val="000000"/>
                <w:sz w:val="24"/>
                <w:szCs w:val="24"/>
                <w:lang w:eastAsia="fr-FR"/>
              </w:rPr>
            </w:pPr>
            <w:proofErr w:type="spellStart"/>
            <w:r w:rsidRPr="002D38BA">
              <w:rPr>
                <w:rFonts w:ascii="Times New Roman" w:eastAsia="Times New Roman" w:hAnsi="Times New Roman" w:cs="Times New Roman"/>
                <w:color w:val="000000"/>
                <w:sz w:val="24"/>
                <w:szCs w:val="24"/>
                <w:lang w:eastAsia="fr-FR"/>
              </w:rPr>
              <w:t>Daivonex</w:t>
            </w:r>
            <w:proofErr w:type="spellEnd"/>
            <w:r w:rsidRPr="002D38BA">
              <w:rPr>
                <w:rFonts w:ascii="Times New Roman" w:eastAsia="Times New Roman" w:hAnsi="Times New Roman" w:cs="Times New Roman"/>
                <w:color w:val="000000"/>
                <w:sz w:val="24"/>
                <w:szCs w:val="24"/>
                <w:lang w:eastAsia="fr-FR"/>
              </w:rPr>
              <w:t xml:space="preserve"> solution pour cuir chevelu (n = 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B4D" w:rsidRPr="002D38BA" w:rsidRDefault="006B0B4D" w:rsidP="00BB4EEF">
            <w:pPr>
              <w:spacing w:after="0" w:line="240" w:lineRule="auto"/>
              <w:jc w:val="center"/>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31,4 %</w:t>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p>
        </w:tc>
      </w:tr>
    </w:tbl>
    <w:p w:rsidR="006B0B4D" w:rsidRPr="002D38BA" w:rsidRDefault="006B0B4D" w:rsidP="006B0B4D">
      <w:pPr>
        <w:spacing w:after="0"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br/>
      </w:r>
      <w:r w:rsidRPr="002D38BA">
        <w:rPr>
          <w:rFonts w:ascii="Times New Roman" w:eastAsia="Times New Roman" w:hAnsi="Times New Roman" w:cs="Times New Roman"/>
          <w:color w:val="000000"/>
          <w:sz w:val="24"/>
          <w:szCs w:val="24"/>
          <w:vertAlign w:val="superscript"/>
          <w:lang w:eastAsia="fr-FR"/>
        </w:rPr>
        <w:t>*</w:t>
      </w:r>
      <w:r w:rsidRPr="002D38BA">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0"/>
          <w:szCs w:val="20"/>
          <w:lang w:eastAsia="fr-FR"/>
        </w:rPr>
        <w:t xml:space="preserve">Statistiquement moins efficace que </w:t>
      </w:r>
      <w:proofErr w:type="spellStart"/>
      <w:r>
        <w:rPr>
          <w:rFonts w:ascii="Times New Roman" w:eastAsia="Times New Roman" w:hAnsi="Times New Roman" w:cs="Times New Roman"/>
          <w:color w:val="000000"/>
          <w:sz w:val="20"/>
          <w:szCs w:val="20"/>
          <w:lang w:eastAsia="fr-FR"/>
        </w:rPr>
        <w:t>Calcipotriol</w:t>
      </w:r>
      <w:proofErr w:type="spell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bétaméthasone</w:t>
      </w:r>
      <w:proofErr w:type="spellEnd"/>
      <w:r>
        <w:rPr>
          <w:rFonts w:ascii="Times New Roman" w:eastAsia="Times New Roman" w:hAnsi="Times New Roman" w:cs="Times New Roman"/>
          <w:color w:val="000000"/>
          <w:sz w:val="20"/>
          <w:szCs w:val="20"/>
          <w:lang w:eastAsia="fr-FR"/>
        </w:rPr>
        <w:t xml:space="preserve"> </w:t>
      </w:r>
      <w:r w:rsidRPr="002D38BA">
        <w:rPr>
          <w:rFonts w:ascii="Times New Roman" w:eastAsia="Times New Roman" w:hAnsi="Times New Roman" w:cs="Times New Roman"/>
          <w:color w:val="000000"/>
          <w:sz w:val="20"/>
          <w:szCs w:val="20"/>
          <w:lang w:eastAsia="fr-FR"/>
        </w:rPr>
        <w:t xml:space="preserve"> gel (p &lt; 0,001).</w:t>
      </w:r>
    </w:p>
    <w:p w:rsidR="006B0B4D" w:rsidRPr="002D38BA" w:rsidRDefault="006B0B4D" w:rsidP="006B0B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D38BA">
        <w:rPr>
          <w:rFonts w:ascii="Times New Roman" w:eastAsia="Times New Roman" w:hAnsi="Times New Roman" w:cs="Times New Roman"/>
          <w:color w:val="000000"/>
          <w:sz w:val="24"/>
          <w:szCs w:val="24"/>
          <w:lang w:eastAsia="fr-FR"/>
        </w:rPr>
        <w:t xml:space="preserve">Une étude clinique à long terme randomisée, en double aveugle, incluant 873 patients avec un psoriasis du cuir chevelu de sévérité au moins modérée à l'inclusion (selon l'IGA), a étudié l'utilisation de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en comparaison avec celle du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dans le véhicule du gel. Les deux traitements ont été appliqués une fois par jour, selon les besoins, jusqu'à 52 semaines de façon intermittente. Des effets indésirables possiblement liés à l'utilisation à long terme de corticoïdes sur le cuir chevelu, ont été identifiés en aveugle par un panel indépendant de dermatologues. Il n'y avait pas de différence dans le pourcentage de patients ayant de tels effets indésirables entre les groupes traités (2,6 % dans le groupe </w:t>
      </w:r>
      <w:proofErr w:type="spellStart"/>
      <w:r>
        <w:rPr>
          <w:rFonts w:ascii="Times New Roman" w:eastAsia="Times New Roman" w:hAnsi="Times New Roman" w:cs="Times New Roman"/>
          <w:color w:val="000000"/>
          <w:sz w:val="24"/>
          <w:szCs w:val="24"/>
          <w:lang w:eastAsia="fr-FR"/>
        </w:rPr>
        <w:t>Calcipotriol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bétaméthasone</w:t>
      </w:r>
      <w:proofErr w:type="spellEnd"/>
      <w:r>
        <w:rPr>
          <w:rFonts w:ascii="Times New Roman" w:eastAsia="Times New Roman" w:hAnsi="Times New Roman" w:cs="Times New Roman"/>
          <w:color w:val="000000"/>
          <w:sz w:val="24"/>
          <w:szCs w:val="24"/>
          <w:lang w:eastAsia="fr-FR"/>
        </w:rPr>
        <w:t xml:space="preserve"> </w:t>
      </w:r>
      <w:r w:rsidRPr="002D38BA">
        <w:rPr>
          <w:rFonts w:ascii="Times New Roman" w:eastAsia="Times New Roman" w:hAnsi="Times New Roman" w:cs="Times New Roman"/>
          <w:color w:val="000000"/>
          <w:sz w:val="24"/>
          <w:szCs w:val="24"/>
          <w:lang w:eastAsia="fr-FR"/>
        </w:rPr>
        <w:t xml:space="preserve"> gel et 3,0 % dans le groupe de </w:t>
      </w:r>
      <w:proofErr w:type="spellStart"/>
      <w:r w:rsidRPr="002D38BA">
        <w:rPr>
          <w:rFonts w:ascii="Times New Roman" w:eastAsia="Times New Roman" w:hAnsi="Times New Roman" w:cs="Times New Roman"/>
          <w:color w:val="000000"/>
          <w:sz w:val="24"/>
          <w:szCs w:val="24"/>
          <w:lang w:eastAsia="fr-FR"/>
        </w:rPr>
        <w:t>calcipotriol</w:t>
      </w:r>
      <w:proofErr w:type="spellEnd"/>
      <w:r w:rsidRPr="002D38BA">
        <w:rPr>
          <w:rFonts w:ascii="Times New Roman" w:eastAsia="Times New Roman" w:hAnsi="Times New Roman" w:cs="Times New Roman"/>
          <w:color w:val="000000"/>
          <w:sz w:val="24"/>
          <w:szCs w:val="24"/>
          <w:lang w:eastAsia="fr-FR"/>
        </w:rPr>
        <w:t xml:space="preserve"> ; p = 0,73). Aucun cas d'atrophie cutanée n'a été rapporté.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B0B4D"/>
    <w:rsid w:val="00017B31"/>
    <w:rsid w:val="0006330F"/>
    <w:rsid w:val="0009769E"/>
    <w:rsid w:val="000C4178"/>
    <w:rsid w:val="00120A2B"/>
    <w:rsid w:val="001931B1"/>
    <w:rsid w:val="001A53D5"/>
    <w:rsid w:val="001B3E26"/>
    <w:rsid w:val="00282113"/>
    <w:rsid w:val="002D0F57"/>
    <w:rsid w:val="003164DC"/>
    <w:rsid w:val="0034030B"/>
    <w:rsid w:val="00370323"/>
    <w:rsid w:val="004276C2"/>
    <w:rsid w:val="004771A7"/>
    <w:rsid w:val="004830E3"/>
    <w:rsid w:val="00521B28"/>
    <w:rsid w:val="005630AF"/>
    <w:rsid w:val="00587FAE"/>
    <w:rsid w:val="00610963"/>
    <w:rsid w:val="0062264F"/>
    <w:rsid w:val="00673C6F"/>
    <w:rsid w:val="006A4DC8"/>
    <w:rsid w:val="006B0B4D"/>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2013-11-05T11:18:00Z</dcterms:created>
  <dcterms:modified xsi:type="dcterms:W3CDTF">2013-11-05T11:20:00Z</dcterms:modified>
</cp:coreProperties>
</file>